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12DC287B" w:rsidR="00825F54" w:rsidRDefault="00C94FCD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2309A524" wp14:editId="26E9AE66">
            <wp:extent cx="5756910" cy="3098165"/>
            <wp:effectExtent l="12700" t="12700" r="8890" b="13335"/>
            <wp:docPr id="9" name="Grafik 9" descr="Ein Bild, das Modeaccessoire, Zubehör, Schmuck, 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Modeaccessoire, Zubehör, Schmuck, Ring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64" t="1640" r="-22790" b="-1640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EA406" w14:textId="77777777" w:rsidR="00C94FCD" w:rsidRDefault="00C94FCD" w:rsidP="00C94FCD">
      <w:pPr>
        <w:rPr>
          <w:rFonts w:cstheme="minorHAnsi"/>
          <w:sz w:val="22"/>
          <w:szCs w:val="22"/>
          <w:lang w:val="en-US"/>
        </w:rPr>
      </w:pPr>
    </w:p>
    <w:p w14:paraId="00571EA3" w14:textId="77777777" w:rsidR="00C94FCD" w:rsidRDefault="00C94FCD" w:rsidP="00C94FCD">
      <w:pPr>
        <w:rPr>
          <w:rFonts w:cstheme="minorHAnsi"/>
          <w:sz w:val="22"/>
          <w:szCs w:val="22"/>
          <w:lang w:val="en-US"/>
        </w:rPr>
      </w:pPr>
    </w:p>
    <w:p w14:paraId="47438092" w14:textId="6EF543B9" w:rsidR="00E87FD9" w:rsidRPr="006E77C4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6E77C4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6E77C4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ING S</w:t>
      </w:r>
      <w:r w:rsidR="0087222F" w:rsidRPr="006E77C4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UPLA GRENADINE</w:t>
      </w:r>
    </w:p>
    <w:p w14:paraId="06D982DA" w14:textId="77777777" w:rsidR="00E87FD9" w:rsidRPr="006E77C4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6D78C30F" w:rsidR="00F50802" w:rsidRPr="006E77C4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6E77C4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NIESSING</w:t>
      </w:r>
      <w:r w:rsidR="00A31854" w:rsidRPr="006E77C4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 </w:t>
      </w:r>
      <w:r w:rsidR="002515E0" w:rsidRPr="006E77C4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S</w:t>
      </w:r>
      <w:r w:rsidR="0087222F" w:rsidRPr="006E77C4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UPLA GRENADINE</w:t>
      </w:r>
    </w:p>
    <w:p w14:paraId="611243D0" w14:textId="77777777" w:rsidR="00312476" w:rsidRPr="006E77C4" w:rsidRDefault="00312476" w:rsidP="00E87FD9">
      <w:pPr>
        <w:ind w:right="2268"/>
        <w:rPr>
          <w:rFonts w:ascii="TheSans C5 Bold" w:hAnsi="TheSans C5 Bold" w:cs="Calibri"/>
          <w:color w:val="000000" w:themeColor="text1"/>
          <w:sz w:val="28"/>
          <w:lang w:val="en-US"/>
        </w:rPr>
      </w:pPr>
    </w:p>
    <w:p w14:paraId="1A359E1E" w14:textId="77777777" w:rsidR="00E87FD9" w:rsidRPr="006E77C4" w:rsidRDefault="00E87FD9" w:rsidP="00E87FD9">
      <w:pPr>
        <w:ind w:right="2268"/>
        <w:rPr>
          <w:rFonts w:ascii="TheSans C5 Bold" w:hAnsi="TheSans C5 Bold" w:cs="TheSansOsF-Light"/>
          <w:color w:val="000000" w:themeColor="text1"/>
          <w:lang w:val="en-US"/>
        </w:rPr>
      </w:pPr>
    </w:p>
    <w:p w14:paraId="15FF947B" w14:textId="77777777" w:rsidR="00E87FD9" w:rsidRPr="006E77C4" w:rsidRDefault="00E87FD9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  <w:r w:rsidRPr="006E77C4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SLOGAN</w:t>
      </w:r>
    </w:p>
    <w:p w14:paraId="78548DEE" w14:textId="73682072" w:rsidR="00E87FD9" w:rsidRPr="006E77C4" w:rsidRDefault="00E87FD9" w:rsidP="00E87FD9">
      <w:pPr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77C4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NIESS</w:t>
      </w:r>
      <w:r w:rsidR="00A31854" w:rsidRPr="006E77C4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 xml:space="preserve">ING </w:t>
      </w:r>
      <w:r w:rsidR="002515E0" w:rsidRPr="006E77C4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S</w:t>
      </w:r>
      <w:r w:rsidR="0087222F" w:rsidRPr="006E77C4"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  <w:t>UPLA GRENADINE</w:t>
      </w:r>
      <w:r w:rsidR="00A31854" w:rsidRPr="006E77C4">
        <w:rPr>
          <w:rFonts w:ascii="TheSans C5 Light" w:hAnsi="TheSans C5 Light" w:cs="Calibri"/>
          <w:b/>
          <w:bCs/>
          <w:color w:val="000000" w:themeColor="text1"/>
          <w:sz w:val="22"/>
          <w:szCs w:val="22"/>
          <w:lang w:val="en-US"/>
        </w:rPr>
        <w:t xml:space="preserve"> - </w:t>
      </w:r>
      <w:r w:rsidR="0087222F" w:rsidRPr="006E77C4">
        <w:rPr>
          <w:rFonts w:ascii="TheSans C5 Light" w:hAnsi="TheSans C5 Light" w:cs="Calibri"/>
          <w:sz w:val="22"/>
          <w:szCs w:val="22"/>
          <w:lang w:val="en-US"/>
        </w:rPr>
        <w:t>Discover luminous rosé gold with a heart of platinum!</w:t>
      </w:r>
    </w:p>
    <w:p w14:paraId="0B6E5287" w14:textId="77777777" w:rsidR="009B6607" w:rsidRPr="006E77C4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6E77C4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6E77C4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2809D4CF" w14:textId="77777777" w:rsidR="00287B61" w:rsidRPr="006E77C4" w:rsidRDefault="00D8246A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Grenadine is a rosé</w:t>
      </w:r>
      <w:r w:rsidR="00287B61" w:rsidRPr="006E77C4">
        <w:rPr>
          <w:rFonts w:ascii="TheSans C5 Light" w:hAnsi="TheSans C5 Light" w:cs="Calibri"/>
          <w:sz w:val="22"/>
          <w:szCs w:val="22"/>
          <w:lang w:val="en-US"/>
        </w:rPr>
        <w:t>-</w:t>
      </w:r>
    </w:p>
    <w:p w14:paraId="7AD379FD" w14:textId="33E30A2B" w:rsidR="00287B61" w:rsidRPr="006E77C4" w:rsidRDefault="00D8246A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colored, warmly shimmering gold with a portion of precious platinum. The innovative combination of the two precious metals provides not only the unique color, but also the outstanding technical properties of </w:t>
      </w: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Grenadine: the hardness, the resilience as well as the elasticity of </w:t>
      </w: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Grenadine are of the highest order. The new </w:t>
      </w: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Color will be fully incorporated into the color wheel of the Bridal Box as well as the palette of </w:t>
      </w:r>
      <w:proofErr w:type="spellStart"/>
      <w:r w:rsidRPr="006E77C4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6E77C4">
        <w:rPr>
          <w:rFonts w:ascii="TheSans C5 Light" w:hAnsi="TheSans C5 Light" w:cs="Calibri"/>
          <w:sz w:val="22"/>
          <w:szCs w:val="22"/>
          <w:lang w:val="en-US"/>
        </w:rPr>
        <w:t xml:space="preserve"> Colors.</w:t>
      </w:r>
    </w:p>
    <w:p w14:paraId="756946FC" w14:textId="77777777" w:rsidR="00287B61" w:rsidRPr="006E77C4" w:rsidRDefault="00D8246A" w:rsidP="00E87FD9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An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exclusive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engraving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set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diamond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makes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loveliest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Spannrings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even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more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on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occasion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engraving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strictly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limited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year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2023.</w:t>
      </w:r>
    </w:p>
    <w:p w14:paraId="5694CC2D" w14:textId="638B6331" w:rsidR="0087222F" w:rsidRPr="006E77C4" w:rsidRDefault="00D8246A" w:rsidP="00E87FD9">
      <w:pPr>
        <w:tabs>
          <w:tab w:val="left" w:pos="3686"/>
        </w:tabs>
        <w:ind w:right="2268"/>
        <w:rPr>
          <w:rFonts w:ascii="TheSans C5 Light" w:hAnsi="TheSans C5 Light" w:cs="Calibri"/>
          <w:bCs/>
          <w:color w:val="000000" w:themeColor="text1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As an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gift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diamond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0.005 ct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also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set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inner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band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each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wedding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ring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Grenadine. This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also limited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year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2023.</w:t>
      </w:r>
    </w:p>
    <w:p w14:paraId="63E49F17" w14:textId="77777777" w:rsidR="0087222F" w:rsidRPr="006E77C4" w:rsidRDefault="0087222F" w:rsidP="00E87FD9">
      <w:pPr>
        <w:tabs>
          <w:tab w:val="left" w:pos="3686"/>
        </w:tabs>
        <w:ind w:right="2268"/>
        <w:rPr>
          <w:rFonts w:ascii="TheSans C5 Light" w:hAnsi="TheSans C5 Light" w:cs="Calibri"/>
          <w:bCs/>
          <w:color w:val="000000" w:themeColor="text1"/>
          <w:sz w:val="22"/>
          <w:szCs w:val="22"/>
        </w:rPr>
      </w:pPr>
    </w:p>
    <w:p w14:paraId="4BC73FB8" w14:textId="77777777" w:rsidR="00FB1F58" w:rsidRDefault="00FB1F58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</w:p>
    <w:p w14:paraId="10EBF41B" w14:textId="77777777" w:rsidR="00FB1F58" w:rsidRDefault="00FB1F58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</w:p>
    <w:p w14:paraId="75BF8FBF" w14:textId="77777777" w:rsidR="00FB1F58" w:rsidRDefault="00FB1F58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</w:p>
    <w:p w14:paraId="38AE12FA" w14:textId="77777777" w:rsidR="00FB1F58" w:rsidRDefault="00FB1F58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</w:p>
    <w:p w14:paraId="67F56389" w14:textId="77777777" w:rsidR="00FB1F58" w:rsidRDefault="00FB1F58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</w:p>
    <w:p w14:paraId="0BD9E87F" w14:textId="091AE5FA" w:rsidR="00E16662" w:rsidRPr="006E77C4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</w:rPr>
      </w:pPr>
      <w:r w:rsidRPr="006E77C4">
        <w:rPr>
          <w:rFonts w:ascii="TheSans C5 Bold" w:hAnsi="TheSans C5 Bold" w:cs="Calibri"/>
          <w:sz w:val="22"/>
          <w:szCs w:val="22"/>
        </w:rPr>
        <w:t>COMMENT</w:t>
      </w:r>
    </w:p>
    <w:p w14:paraId="601CACE8" w14:textId="77777777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6E77C4">
        <w:rPr>
          <w:rFonts w:ascii="TheSans C5 Light" w:hAnsi="TheSans C5 Light" w:cs="Calibri"/>
          <w:sz w:val="22"/>
          <w:szCs w:val="22"/>
        </w:rPr>
        <w:t>Discovering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unique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spectrum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particularly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subtle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nuances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beyond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classics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yellow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white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long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tradition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at Niessing –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continues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honored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renowned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design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awards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very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day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64D4E8D8" w14:textId="77777777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On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occasion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150th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manufactory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designers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goldsmiths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undertook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special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challenge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: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inspired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creative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spirit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Bauhaus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philosophy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leaving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paths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behind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discovering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were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driven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desire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translate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iconic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Color Grenadine –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brand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lettering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»Heart and Arrow« –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metal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6EF9EBE6" w14:textId="04EBCAEF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6E77C4">
        <w:rPr>
          <w:rFonts w:ascii="TheSans C5 Light" w:hAnsi="TheSans C5 Light" w:cs="Calibri"/>
          <w:sz w:val="22"/>
          <w:szCs w:val="22"/>
        </w:rPr>
        <w:t>Only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most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experienced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goldsmiths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have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mastered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art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blending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metals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have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differing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melting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points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been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experimenting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long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time and, after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patenting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in 1965,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introduced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first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Spannrings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mid-1970s.</w:t>
      </w:r>
    </w:p>
    <w:p w14:paraId="7C2777B5" w14:textId="77777777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2548D0C4" w14:textId="77777777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Just in time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big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vision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now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become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reality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: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rosé-colored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warmly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shimmering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portion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gives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fascinatingly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luminous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luster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–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bathed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cool,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clear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light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moon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6F1D08B2" w14:textId="757DC79E" w:rsidR="0087222F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unique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radiates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even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more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strikingly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when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sparkling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diamonds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join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game.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highlight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best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two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worlds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: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cool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blue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nuance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warm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rosé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sophisticated,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subtle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nuance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that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embodies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luxurious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understatement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Thanks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sensuous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charm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perfect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Color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Spannrings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well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wedding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rings.</w:t>
      </w:r>
    </w:p>
    <w:p w14:paraId="10C4E170" w14:textId="77777777" w:rsidR="00287B61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094DA936" w14:textId="3089E7A5" w:rsidR="00957DF3" w:rsidRPr="006E77C4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</w:rPr>
      </w:pPr>
      <w:r w:rsidRPr="006E77C4">
        <w:rPr>
          <w:rFonts w:ascii="TheSans C5 Bold" w:hAnsi="TheSans C5 Bold" w:cs="Calibri"/>
          <w:sz w:val="22"/>
          <w:szCs w:val="22"/>
        </w:rPr>
        <w:t>ESSENCE</w:t>
      </w:r>
    </w:p>
    <w:p w14:paraId="79405BC0" w14:textId="78BF2B85" w:rsidR="0087222F" w:rsidRPr="006E77C4" w:rsidRDefault="00287B61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rosé-colored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warmly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shimmering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portion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gives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fascinatingly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luminous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luster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–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bathed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cool,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clear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light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moon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historic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translates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iconic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Grenadine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from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brand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lettering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»Heart and Arrow«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metal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Discover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luminous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rosé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heart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!</w:t>
      </w:r>
    </w:p>
    <w:p w14:paraId="58F58DD1" w14:textId="77777777" w:rsidR="00287B61" w:rsidRPr="006E77C4" w:rsidRDefault="00287B61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695F0641" w14:textId="29BF2F83" w:rsidR="00312476" w:rsidRPr="006E77C4" w:rsidRDefault="00287B61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</w:rPr>
      </w:pPr>
      <w:r w:rsidRPr="006E77C4">
        <w:rPr>
          <w:rFonts w:ascii="TheSans C5 Bold" w:hAnsi="TheSans C5 Bold" w:cs="Calibri"/>
          <w:sz w:val="22"/>
          <w:szCs w:val="22"/>
        </w:rPr>
        <w:t>FACT SHEET</w:t>
      </w:r>
    </w:p>
    <w:p w14:paraId="4B2DCC25" w14:textId="77777777" w:rsidR="00287B61" w:rsidRPr="006E77C4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rosé-colored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750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portion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combines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warmth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rosé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cool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radiance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6773D8A7" w14:textId="77777777" w:rsidR="00287B61" w:rsidRPr="006E77C4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Grenadine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particularly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hard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resistant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and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scratchproof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30%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harder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than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comparable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750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yellow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-gold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0FF5FD3A" w14:textId="77777777" w:rsidR="00287B61" w:rsidRPr="006E77C4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On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occasion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150th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historic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in-house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goldplatinum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from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1960s was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developed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further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and a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new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rosé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shade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was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created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Each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bar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cast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manufactory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Münsterland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region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extensive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experience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secret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recipe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preserved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0E5D43A9" w14:textId="77777777" w:rsidR="00FB1F58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>»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Supla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« was registered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a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trademark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with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German Patent Office back in 1965.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Beginning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in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1970s,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was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used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</w:p>
    <w:p w14:paraId="2CE9690F" w14:textId="77777777" w:rsidR="00FB1F58" w:rsidRDefault="00FB1F58" w:rsidP="00FB1F58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15C2A038" w14:textId="77777777" w:rsidR="00FB1F58" w:rsidRDefault="00FB1F58" w:rsidP="00FB1F58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3A8DF52F" w14:textId="77777777" w:rsidR="00FB1F58" w:rsidRDefault="00FB1F58" w:rsidP="00FB1F58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</w:p>
    <w:p w14:paraId="04D0885E" w14:textId="668940F5" w:rsidR="00287B61" w:rsidRPr="006E77C4" w:rsidRDefault="00287B61" w:rsidP="00FB1F58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production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jewelry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,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wedding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rings, 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later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for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tension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rings due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its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high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degree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resilience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31CC9C2F" w14:textId="77777777" w:rsidR="00287B61" w:rsidRPr="006E77C4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historic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Niessing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Color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translates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iconic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Niessing Grenadine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from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brand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lettering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and »Heart and Arrow«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into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precious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metal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268E6E10" w14:textId="2BE2AB26" w:rsidR="00287B61" w:rsidRPr="006E77C4" w:rsidRDefault="00287B61" w:rsidP="00287B61">
      <w:pPr>
        <w:pStyle w:val="Listenabsatz"/>
        <w:numPr>
          <w:ilvl w:val="0"/>
          <w:numId w:val="13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</w:rPr>
      </w:pPr>
      <w:r w:rsidRPr="006E77C4">
        <w:rPr>
          <w:rFonts w:ascii="TheSans C5 Light" w:hAnsi="TheSans C5 Light" w:cs="Calibri"/>
          <w:sz w:val="22"/>
          <w:szCs w:val="22"/>
        </w:rPr>
        <w:t xml:space="preserve">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new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goldplatinum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alloy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will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be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fully incorporated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into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color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wheel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Bridal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Box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well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as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palette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  <w:u w:val="single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  <w:u w:val="single"/>
        </w:rPr>
        <w:t xml:space="preserve"> Niessing Colors</w:t>
      </w:r>
      <w:r w:rsidRPr="006E77C4">
        <w:rPr>
          <w:rFonts w:ascii="TheSans C5 Light" w:hAnsi="TheSans C5 Light" w:cs="Calibri"/>
          <w:sz w:val="22"/>
          <w:szCs w:val="22"/>
        </w:rPr>
        <w:t xml:space="preserve">. The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only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thing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that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limited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to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anniversary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year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2023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gift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diamond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on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inner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band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of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the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6E77C4">
        <w:rPr>
          <w:rFonts w:ascii="TheSans C5 Light" w:hAnsi="TheSans C5 Light" w:cs="Calibri"/>
          <w:sz w:val="22"/>
          <w:szCs w:val="22"/>
        </w:rPr>
        <w:t>rings</w:t>
      </w:r>
      <w:proofErr w:type="spellEnd"/>
      <w:r w:rsidRPr="006E77C4">
        <w:rPr>
          <w:rFonts w:ascii="TheSans C5 Light" w:hAnsi="TheSans C5 Light" w:cs="Calibri"/>
          <w:sz w:val="22"/>
          <w:szCs w:val="22"/>
        </w:rPr>
        <w:t>.</w:t>
      </w:r>
    </w:p>
    <w:p w14:paraId="4D2523C0" w14:textId="5680F5E2" w:rsidR="00790BA1" w:rsidRPr="006E77C4" w:rsidRDefault="00790BA1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</w:rPr>
      </w:pPr>
    </w:p>
    <w:sectPr w:rsidR="00790BA1" w:rsidRPr="006E77C4" w:rsidSect="003D2FB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2B2F" w14:textId="77777777" w:rsidR="003D2FBA" w:rsidRDefault="003D2FBA" w:rsidP="001A7830">
      <w:r>
        <w:separator/>
      </w:r>
    </w:p>
  </w:endnote>
  <w:endnote w:type="continuationSeparator" w:id="0">
    <w:p w14:paraId="2A563440" w14:textId="77777777" w:rsidR="003D2FBA" w:rsidRDefault="003D2FBA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DAC5" w14:textId="77777777" w:rsidR="003D2FBA" w:rsidRDefault="003D2FBA" w:rsidP="001A7830">
      <w:r>
        <w:separator/>
      </w:r>
    </w:p>
  </w:footnote>
  <w:footnote w:type="continuationSeparator" w:id="0">
    <w:p w14:paraId="13FB8354" w14:textId="77777777" w:rsidR="003D2FBA" w:rsidRDefault="003D2FBA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2FBA"/>
    <w:rsid w:val="00420851"/>
    <w:rsid w:val="00476042"/>
    <w:rsid w:val="004D15EF"/>
    <w:rsid w:val="00510908"/>
    <w:rsid w:val="0055490F"/>
    <w:rsid w:val="00581E86"/>
    <w:rsid w:val="005A311A"/>
    <w:rsid w:val="005C69AD"/>
    <w:rsid w:val="00634740"/>
    <w:rsid w:val="00665B56"/>
    <w:rsid w:val="006A55CE"/>
    <w:rsid w:val="006E77C4"/>
    <w:rsid w:val="00712BBE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B6A50"/>
    <w:rsid w:val="00AD3275"/>
    <w:rsid w:val="00B61906"/>
    <w:rsid w:val="00B864B0"/>
    <w:rsid w:val="00BE2D3A"/>
    <w:rsid w:val="00C07436"/>
    <w:rsid w:val="00C53C7D"/>
    <w:rsid w:val="00C94FCD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1F58"/>
    <w:rsid w:val="00FB3D48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2024-03-11T12:43:00Z</dcterms:created>
  <dcterms:modified xsi:type="dcterms:W3CDTF">2024-03-11T12:43:00Z</dcterms:modified>
</cp:coreProperties>
</file>