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493B547" w:rsidR="00825F54" w:rsidRDefault="00825F54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019E11C1" wp14:editId="5EC65BA9">
            <wp:extent cx="5752800" cy="3094355"/>
            <wp:effectExtent l="12700" t="12700" r="13335" b="171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" t="20685" r="5728" b="-2140"/>
                    <a:stretch/>
                  </pic:blipFill>
                  <pic:spPr bwMode="auto">
                    <a:xfrm>
                      <a:off x="0" y="0"/>
                      <a:ext cx="5752800" cy="30943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8E8E8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7954F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59699FAB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374D34D4" w14:textId="77777777" w:rsidR="00825F54" w:rsidRPr="00E87FD9" w:rsidRDefault="00825F54" w:rsidP="00F50802">
      <w:pPr>
        <w:rPr>
          <w:rFonts w:cstheme="minorHAnsi"/>
          <w:sz w:val="36"/>
          <w:szCs w:val="36"/>
          <w:lang w:val="en-US"/>
        </w:rPr>
      </w:pPr>
    </w:p>
    <w:p w14:paraId="47438092" w14:textId="5455AD5F" w:rsidR="00E87FD9" w:rsidRPr="00E87FD9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E87FD9">
        <w:rPr>
          <w:rFonts w:ascii="TheSans C5 Light" w:hAnsi="TheSans C5 Light" w:cstheme="minorHAnsi"/>
          <w:color w:val="000000" w:themeColor="text1"/>
          <w:sz w:val="36"/>
          <w:szCs w:val="36"/>
          <w:lang w:val="en-US"/>
        </w:rPr>
        <w:t>TC NIESSING SPANNRING® ERA BRACELET</w:t>
      </w:r>
      <w:r w:rsidRPr="00E87FD9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 </w:t>
      </w:r>
    </w:p>
    <w:p w14:paraId="06D982DA" w14:textId="77777777" w:rsidR="00E87FD9" w:rsidRPr="00E87FD9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5923A37B" w:rsidR="00F50802" w:rsidRPr="00E87FD9" w:rsidRDefault="00771614" w:rsidP="00F50802">
      <w:pPr>
        <w:rPr>
          <w:rFonts w:ascii="TheSans C5 Light" w:hAnsi="TheSans C5 Light" w:cs="Calibri"/>
          <w:b/>
          <w:bCs/>
          <w:color w:val="000000" w:themeColor="text1"/>
          <w:sz w:val="40"/>
          <w:szCs w:val="40"/>
          <w:lang w:val="en-US"/>
        </w:rPr>
      </w:pPr>
      <w:r w:rsidRPr="00E87FD9">
        <w:rPr>
          <w:rFonts w:ascii="TheSans C5 Light" w:hAnsi="TheSans C5 Light" w:cs="Calibri"/>
          <w:b/>
          <w:bCs/>
          <w:color w:val="000000" w:themeColor="text1"/>
          <w:sz w:val="40"/>
          <w:szCs w:val="40"/>
          <w:lang w:val="en-US"/>
        </w:rPr>
        <w:t xml:space="preserve">NIESSING </w:t>
      </w:r>
      <w:r w:rsidR="00712BBE" w:rsidRPr="00E87FD9">
        <w:rPr>
          <w:rFonts w:ascii="TheSans C5 Light" w:hAnsi="TheSans C5 Light" w:cs="Calibri"/>
          <w:b/>
          <w:bCs/>
          <w:color w:val="000000" w:themeColor="text1"/>
          <w:sz w:val="40"/>
          <w:szCs w:val="40"/>
          <w:lang w:val="en-US"/>
        </w:rPr>
        <w:t xml:space="preserve">SPANNRING® </w:t>
      </w:r>
      <w:r w:rsidR="00E21DE2" w:rsidRPr="00E87FD9">
        <w:rPr>
          <w:rFonts w:ascii="TheSans C5 Light" w:hAnsi="TheSans C5 Light" w:cs="Calibri"/>
          <w:b/>
          <w:bCs/>
          <w:color w:val="000000" w:themeColor="text1"/>
          <w:sz w:val="40"/>
          <w:szCs w:val="40"/>
          <w:lang w:val="en-US"/>
        </w:rPr>
        <w:t>ERA</w:t>
      </w:r>
      <w:r w:rsidR="00712BBE" w:rsidRPr="00E87FD9">
        <w:rPr>
          <w:rFonts w:ascii="TheSans C5 Light" w:hAnsi="TheSans C5 Light" w:cs="Calibri"/>
          <w:b/>
          <w:bCs/>
          <w:color w:val="000000" w:themeColor="text1"/>
          <w:sz w:val="40"/>
          <w:szCs w:val="40"/>
          <w:lang w:val="en-US"/>
        </w:rPr>
        <w:t xml:space="preserve"> </w:t>
      </w:r>
      <w:r w:rsidR="00E21DE2" w:rsidRPr="00E87FD9">
        <w:rPr>
          <w:rFonts w:ascii="TheSans C5 Light" w:hAnsi="TheSans C5 Light" w:cs="Calibri"/>
          <w:b/>
          <w:bCs/>
          <w:color w:val="000000" w:themeColor="text1"/>
          <w:sz w:val="40"/>
          <w:szCs w:val="40"/>
          <w:lang w:val="en-US"/>
        </w:rPr>
        <w:t>BRACELET</w:t>
      </w:r>
    </w:p>
    <w:p w14:paraId="6B50EA33" w14:textId="77777777" w:rsidR="00E87FD9" w:rsidRPr="00E87FD9" w:rsidRDefault="00E87FD9" w:rsidP="00E87FD9">
      <w:pPr>
        <w:ind w:right="2268"/>
        <w:rPr>
          <w:rFonts w:ascii="TheSans C5 Light" w:hAnsi="TheSans C5 Light" w:cs="TheSansOsF-Light"/>
          <w:b/>
          <w:bCs/>
          <w:color w:val="000000" w:themeColor="text1"/>
          <w:sz w:val="28"/>
          <w:lang w:val="en-US"/>
        </w:rPr>
      </w:pPr>
      <w:r w:rsidRPr="00E87FD9">
        <w:rPr>
          <w:rFonts w:ascii="TheSans C5 Light" w:hAnsi="TheSans C5 Light" w:cs="TheSansOsF-Light"/>
          <w:b/>
          <w:bCs/>
          <w:color w:val="000000" w:themeColor="text1"/>
          <w:sz w:val="28"/>
          <w:lang w:val="en-US"/>
        </w:rPr>
        <w:t>Bracelet</w:t>
      </w:r>
    </w:p>
    <w:p w14:paraId="1A359E1E" w14:textId="77777777" w:rsidR="00E87FD9" w:rsidRPr="00E87FD9" w:rsidRDefault="00E87FD9" w:rsidP="00E87FD9">
      <w:pPr>
        <w:ind w:right="2268"/>
        <w:rPr>
          <w:rFonts w:ascii="TheSans C5 Light" w:hAnsi="TheSans C5 Light" w:cs="TheSansOsF-Light"/>
          <w:b/>
          <w:bCs/>
          <w:color w:val="000000" w:themeColor="text1"/>
          <w:lang w:val="en-US"/>
        </w:rPr>
      </w:pPr>
    </w:p>
    <w:p w14:paraId="15FF947B" w14:textId="77777777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/>
          <w:color w:val="000000" w:themeColor="text1"/>
          <w:sz w:val="22"/>
          <w:szCs w:val="22"/>
          <w:lang w:val="en-US"/>
        </w:rPr>
      </w:pPr>
      <w:r w:rsidRPr="00E87FD9">
        <w:rPr>
          <w:rFonts w:ascii="TheSans C5 Light" w:hAnsi="TheSans C5 Light" w:cs="TheSansOsF-Light"/>
          <w:b/>
          <w:color w:val="000000" w:themeColor="text1"/>
          <w:sz w:val="22"/>
          <w:szCs w:val="22"/>
          <w:lang w:val="en-US"/>
        </w:rPr>
        <w:t>SLOGAN</w:t>
      </w:r>
    </w:p>
    <w:p w14:paraId="78548DEE" w14:textId="62F7025F" w:rsidR="00E87FD9" w:rsidRDefault="00E87FD9" w:rsidP="00E87FD9">
      <w:pPr>
        <w:ind w:right="2268"/>
      </w:pPr>
      <w:r w:rsidRPr="00E87FD9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NIESSING SPANNRING® ERA </w:t>
      </w:r>
      <w:r w:rsidRPr="00E87FD9">
        <w:rPr>
          <w:rFonts w:ascii="TheSans C5 Light" w:hAnsi="TheSans C5 Light" w:cstheme="minorHAnsi"/>
          <w:b/>
          <w:color w:val="000000" w:themeColor="text1"/>
          <w:sz w:val="22"/>
          <w:szCs w:val="22"/>
          <w:lang w:val="en-US"/>
        </w:rPr>
        <w:t>BRACELET</w:t>
      </w:r>
      <w:r w:rsidRPr="00E87FD9">
        <w:rPr>
          <w:rFonts w:ascii="TheSans C5 Light" w:hAnsi="TheSans C5 Light" w:cs="TheSansOsF-Light"/>
          <w:bCs/>
          <w:color w:val="000000" w:themeColor="text1"/>
          <w:sz w:val="22"/>
          <w:szCs w:val="22"/>
        </w:rPr>
        <w:t xml:space="preserve"> – </w:t>
      </w:r>
      <w:r w:rsidR="009B6607">
        <w:t xml:space="preserve">charming </w:t>
      </w:r>
      <w:proofErr w:type="spellStart"/>
      <w:r w:rsidR="009B6607">
        <w:t>look</w:t>
      </w:r>
      <w:proofErr w:type="spellEnd"/>
      <w:r w:rsidR="009B6607">
        <w:t xml:space="preserve"> </w:t>
      </w:r>
      <w:proofErr w:type="spellStart"/>
      <w:r w:rsidR="009B6607">
        <w:t>of</w:t>
      </w:r>
      <w:proofErr w:type="spellEnd"/>
      <w:r w:rsidR="009B6607">
        <w:t xml:space="preserve"> a </w:t>
      </w:r>
      <w:proofErr w:type="spellStart"/>
      <w:r w:rsidR="009B6607">
        <w:t>new</w:t>
      </w:r>
      <w:proofErr w:type="spellEnd"/>
      <w:r w:rsidR="009B6607">
        <w:t xml:space="preserve"> </w:t>
      </w:r>
      <w:proofErr w:type="spellStart"/>
      <w:r w:rsidR="009B6607">
        <w:t>era</w:t>
      </w:r>
      <w:proofErr w:type="spellEnd"/>
    </w:p>
    <w:p w14:paraId="0B6E5287" w14:textId="77777777" w:rsidR="009B6607" w:rsidRPr="00E87FD9" w:rsidRDefault="009B6607" w:rsidP="00E87FD9">
      <w:pPr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5ED5EAEE" w14:textId="0005E602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  <w:r w:rsidRPr="00E87FD9">
        <w:rPr>
          <w:rFonts w:ascii="TheSans C5 Light" w:hAnsi="TheSans C5 Light" w:cs="Segoe UI"/>
          <w:b/>
          <w:bCs/>
          <w:color w:val="000000" w:themeColor="text1"/>
          <w:sz w:val="22"/>
          <w:szCs w:val="22"/>
          <w:shd w:val="clear" w:color="auto" w:fill="FFFFFF"/>
        </w:rPr>
        <w:t>Essence:</w:t>
      </w:r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The Niessing Spannring®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Era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arm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jewelry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embodies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homage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original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Niessing Spannring,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reinterpreted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 a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spectacular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manner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. The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iconic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organically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curved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into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two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fine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arches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gently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securely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holds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two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diamonds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. The double-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looped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fine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leather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strap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echoes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infinite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transforms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bracelet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into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 stylish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everyday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companion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- extravagant,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casual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bold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and light. A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fusion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5490F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contemporary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nonchalance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iconic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design,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prepared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original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new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era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.</w:t>
      </w:r>
    </w:p>
    <w:p w14:paraId="4FA295E2" w14:textId="77777777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Cs/>
          <w:color w:val="000000" w:themeColor="text1"/>
          <w:sz w:val="22"/>
          <w:szCs w:val="22"/>
        </w:rPr>
      </w:pPr>
    </w:p>
    <w:p w14:paraId="2E27611A" w14:textId="4F6E4640" w:rsid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87FD9">
        <w:rPr>
          <w:rFonts w:ascii="TheSans C5 Light" w:hAnsi="TheSans C5 Light" w:cs="Segoe UI"/>
          <w:b/>
          <w:bCs/>
          <w:color w:val="000000" w:themeColor="text1"/>
          <w:sz w:val="22"/>
          <w:szCs w:val="22"/>
          <w:shd w:val="clear" w:color="auto" w:fill="FFFFFF"/>
        </w:rPr>
        <w:t>Idea</w:t>
      </w:r>
      <w:proofErr w:type="spellEnd"/>
      <w:r w:rsidRPr="00E87FD9">
        <w:rPr>
          <w:rFonts w:ascii="TheSans C5 Light" w:hAnsi="TheSans C5 Light" w:cs="Segoe UI"/>
          <w:b/>
          <w:bCs/>
          <w:color w:val="000000" w:themeColor="text1"/>
          <w:sz w:val="22"/>
          <w:szCs w:val="22"/>
          <w:shd w:val="clear" w:color="auto" w:fill="FFFFFF"/>
        </w:rPr>
        <w:t>:</w:t>
      </w:r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The </w:t>
      </w:r>
      <w:proofErr w:type="spellStart"/>
      <w:r w:rsidR="0055490F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idea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5490F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Niessing Tension Ring®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Era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bracelet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5490F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is</w:t>
      </w:r>
      <w:proofErr w:type="spellEnd"/>
      <w:r w:rsidR="0055490F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</w:t>
      </w:r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spectacular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redesign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original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Niessing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tension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ring.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Organically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curved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into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two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fine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arches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holds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two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diamonds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. The double-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looped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fine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leather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strap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echoes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infinite </w:t>
      </w:r>
    </w:p>
    <w:p w14:paraId="1A99737F" w14:textId="77777777" w:rsid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</w:p>
    <w:p w14:paraId="271158B7" w14:textId="77777777" w:rsid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</w:p>
    <w:p w14:paraId="76DDD218" w14:textId="77777777" w:rsidR="009B6607" w:rsidRDefault="009B6607" w:rsidP="00E87FD9">
      <w:pPr>
        <w:tabs>
          <w:tab w:val="left" w:pos="3686"/>
        </w:tabs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</w:p>
    <w:p w14:paraId="060A4945" w14:textId="184F767A" w:rsidR="00E87FD9" w:rsidRPr="00E87FD9" w:rsidRDefault="009B6607" w:rsidP="00E87FD9">
      <w:pPr>
        <w:tabs>
          <w:tab w:val="left" w:pos="3686"/>
        </w:tabs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  <w:r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makes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bracelet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 stylish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companion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Paying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homage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its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deep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roots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 Bauhaus, Niessing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celebrated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150th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anniversary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="00E87FD9"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5CEEBF" w14:textId="53A9A20C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Cs/>
          <w:color w:val="000000" w:themeColor="text1"/>
          <w:sz w:val="22"/>
          <w:szCs w:val="22"/>
        </w:rPr>
      </w:pP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manufactory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with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 design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transforms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Niessing Spannring®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into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 opulent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statement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ring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fascinating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pendant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.</w:t>
      </w:r>
    </w:p>
    <w:p w14:paraId="58BE2D47" w14:textId="77777777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Cs/>
          <w:color w:val="000000" w:themeColor="text1"/>
          <w:sz w:val="22"/>
          <w:szCs w:val="22"/>
        </w:rPr>
      </w:pPr>
    </w:p>
    <w:p w14:paraId="12DBEB51" w14:textId="77777777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</w:pPr>
    </w:p>
    <w:p w14:paraId="19DF32D5" w14:textId="77777777" w:rsidR="00E87FD9" w:rsidRPr="00201E5B" w:rsidRDefault="00E87FD9" w:rsidP="00E87FD9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</w:pPr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Features:</w:t>
      </w:r>
    </w:p>
    <w:p w14:paraId="22ADD5E5" w14:textId="77777777" w:rsidR="00E87FD9" w:rsidRPr="00201E5B" w:rsidRDefault="00E87FD9" w:rsidP="00E87FD9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Organic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shape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:</w:t>
      </w:r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The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iconic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shape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of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Niessing Spannring®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Era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bracelet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is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organically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curved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into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two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fine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arcs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that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gently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securely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hold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two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diamonds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.</w:t>
      </w:r>
    </w:p>
    <w:p w14:paraId="01F374BB" w14:textId="77777777" w:rsidR="00E87FD9" w:rsidRPr="00201E5B" w:rsidRDefault="00E87FD9" w:rsidP="00E87FD9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Double-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looped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leather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strap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:</w:t>
      </w:r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The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fine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, double-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looped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leather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strap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echoes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infinite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shape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of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jewelry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creates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 stylish,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casual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look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.</w:t>
      </w:r>
    </w:p>
    <w:p w14:paraId="73D1E8CC" w14:textId="77777777" w:rsidR="00E87FD9" w:rsidRPr="00201E5B" w:rsidRDefault="00E87FD9" w:rsidP="00E87FD9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Variety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of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materials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:</w:t>
      </w:r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Niessing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offers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Platinum and Gold in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various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colors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,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including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Classic Yellow, Classic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Red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, Fine Rose,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Rosewood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, and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Supla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Grenadine.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Various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surface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textures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such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Gloss and Nature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offer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additional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customization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options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.</w:t>
      </w:r>
    </w:p>
    <w:p w14:paraId="56DCC329" w14:textId="41899C9A" w:rsidR="00E87FD9" w:rsidRPr="00201E5B" w:rsidRDefault="00E87FD9" w:rsidP="00E87FD9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Sustainable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materials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:</w:t>
      </w:r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The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straps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are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made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from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European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organic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nappa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leather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,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processed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using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vegetable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tanning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heavy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metal-free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dyeing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.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Certifications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such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IVN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certificate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ECARF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certification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stand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for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highest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quality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</w:t>
      </w:r>
      <w:proofErr w:type="spellStart"/>
      <w:r w:rsidR="009B6607">
        <w:t>unlikeliness</w:t>
      </w:r>
      <w:proofErr w:type="spellEnd"/>
      <w:r w:rsidR="009B6607">
        <w:t xml:space="preserve"> </w:t>
      </w:r>
      <w:proofErr w:type="spellStart"/>
      <w:r w:rsidR="009B6607">
        <w:t>of</w:t>
      </w:r>
      <w:proofErr w:type="spellEnd"/>
      <w:r w:rsidR="009B6607">
        <w:t xml:space="preserve"> an </w:t>
      </w:r>
      <w:proofErr w:type="spellStart"/>
      <w:r w:rsidR="009B6607">
        <w:t>allergic</w:t>
      </w:r>
      <w:proofErr w:type="spellEnd"/>
      <w:r w:rsidR="009B6607">
        <w:t xml:space="preserve"> reaction</w:t>
      </w:r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.</w:t>
      </w:r>
    </w:p>
    <w:p w14:paraId="6E37DFC5" w14:textId="77777777" w:rsidR="00E87FD9" w:rsidRPr="00201E5B" w:rsidRDefault="00E87FD9" w:rsidP="00E87FD9">
      <w:pPr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 xml:space="preserve">Individual </w:t>
      </w:r>
      <w:proofErr w:type="spellStart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clasp</w:t>
      </w:r>
      <w:proofErr w:type="spellEnd"/>
      <w:r w:rsidRPr="00201E5B">
        <w:rPr>
          <w:rFonts w:ascii="TheSans C5 Light" w:hAnsi="TheSans C5 Light" w:cs="TheSansOsF-Light"/>
          <w:b/>
          <w:bCs/>
          <w:color w:val="000000" w:themeColor="text1"/>
          <w:sz w:val="22"/>
          <w:szCs w:val="22"/>
        </w:rPr>
        <w:t>:</w:t>
      </w:r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The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sliding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clasp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allows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easy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operation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individual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size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adjustment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of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bracelet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. The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clasp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can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be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made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in Niessing NOW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silver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or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in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same Niessing Color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as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pendant</w:t>
      </w:r>
      <w:proofErr w:type="spellEnd"/>
      <w:r w:rsidRPr="00201E5B">
        <w:rPr>
          <w:rFonts w:ascii="TheSans C5 Light" w:hAnsi="TheSans C5 Light" w:cs="TheSansOsF-Light"/>
          <w:color w:val="000000" w:themeColor="text1"/>
          <w:sz w:val="22"/>
          <w:szCs w:val="22"/>
        </w:rPr>
        <w:t>.</w:t>
      </w:r>
    </w:p>
    <w:p w14:paraId="70908DA3" w14:textId="77777777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Cs/>
          <w:color w:val="000000" w:themeColor="text1"/>
          <w:sz w:val="22"/>
          <w:szCs w:val="22"/>
        </w:rPr>
      </w:pPr>
    </w:p>
    <w:p w14:paraId="749696D4" w14:textId="1CB99AE7" w:rsidR="00E87FD9" w:rsidRPr="00E87FD9" w:rsidRDefault="00E87FD9" w:rsidP="00E87FD9">
      <w:pPr>
        <w:tabs>
          <w:tab w:val="left" w:pos="3686"/>
        </w:tabs>
        <w:ind w:right="2268"/>
        <w:rPr>
          <w:rFonts w:ascii="TheSans C5 Light" w:hAnsi="TheSans C5 Light" w:cs="TheSansOsF-Light"/>
          <w:bCs/>
          <w:color w:val="000000" w:themeColor="text1"/>
          <w:sz w:val="22"/>
          <w:szCs w:val="22"/>
        </w:rPr>
      </w:pPr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The Niessing Spannring®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Era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bracelet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impressive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fusion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modern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nonchalance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iconic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design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that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completely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redefines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look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Niessing Spannring®. This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piece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jewelry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paying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tribute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its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deep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roots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 Bauhaus,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celebrates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150th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anniversary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manufactory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presents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itself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as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an opulent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statement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ring and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fascinating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pendant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. The double-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looped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bracelet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756B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756B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held</w:t>
      </w:r>
      <w:proofErr w:type="spellEnd"/>
      <w:proofErr w:type="gram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by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infinite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of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jewelry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is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ready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shape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new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>era</w:t>
      </w:r>
      <w:proofErr w:type="spellEnd"/>
      <w:r w:rsidRPr="00E87FD9"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  <w:t xml:space="preserve"> in style.</w:t>
      </w:r>
    </w:p>
    <w:p w14:paraId="6A560A0F" w14:textId="77777777" w:rsidR="00E21DE2" w:rsidRPr="00E87FD9" w:rsidRDefault="00E21DE2" w:rsidP="00E21DE2">
      <w:pPr>
        <w:ind w:right="2268"/>
        <w:rPr>
          <w:rFonts w:ascii="TheSans C5 Light" w:hAnsi="TheSans C5 Light" w:cs="Segoe UI"/>
          <w:color w:val="000000" w:themeColor="text1"/>
          <w:sz w:val="22"/>
          <w:szCs w:val="22"/>
          <w:shd w:val="clear" w:color="auto" w:fill="FFFFFF"/>
        </w:rPr>
      </w:pPr>
    </w:p>
    <w:p w14:paraId="70E6B45C" w14:textId="07FE8F40" w:rsidR="00FA2046" w:rsidRPr="00E87FD9" w:rsidRDefault="00FA2046" w:rsidP="00E21DE2">
      <w:pPr>
        <w:ind w:right="2268"/>
        <w:rPr>
          <w:rFonts w:ascii="TheSans C5 Light" w:hAnsi="TheSans C5 Light" w:cstheme="minorHAnsi"/>
          <w:color w:val="000000" w:themeColor="text1"/>
          <w:sz w:val="22"/>
          <w:szCs w:val="22"/>
        </w:rPr>
      </w:pPr>
    </w:p>
    <w:sectPr w:rsidR="00FA2046" w:rsidRPr="00E87FD9" w:rsidSect="00317BD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5E3B" w14:textId="77777777" w:rsidR="00317BDE" w:rsidRDefault="00317BDE" w:rsidP="001A7830">
      <w:r>
        <w:separator/>
      </w:r>
    </w:p>
  </w:endnote>
  <w:endnote w:type="continuationSeparator" w:id="0">
    <w:p w14:paraId="00FF2AC5" w14:textId="77777777" w:rsidR="00317BDE" w:rsidRDefault="00317BDE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20B0302050302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7694" w14:textId="77777777" w:rsidR="00317BDE" w:rsidRDefault="00317BDE" w:rsidP="001A7830">
      <w:r>
        <w:separator/>
      </w:r>
    </w:p>
  </w:footnote>
  <w:footnote w:type="continuationSeparator" w:id="0">
    <w:p w14:paraId="591833AB" w14:textId="77777777" w:rsidR="00317BDE" w:rsidRDefault="00317BDE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25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56D4"/>
    <w:rsid w:val="00146CF7"/>
    <w:rsid w:val="001A7830"/>
    <w:rsid w:val="001B736B"/>
    <w:rsid w:val="0022781B"/>
    <w:rsid w:val="00242E71"/>
    <w:rsid w:val="00252462"/>
    <w:rsid w:val="002532E7"/>
    <w:rsid w:val="00257EA8"/>
    <w:rsid w:val="00280978"/>
    <w:rsid w:val="00285481"/>
    <w:rsid w:val="00296E91"/>
    <w:rsid w:val="002B52EA"/>
    <w:rsid w:val="002D5941"/>
    <w:rsid w:val="002F7E1E"/>
    <w:rsid w:val="00317BDE"/>
    <w:rsid w:val="003756B9"/>
    <w:rsid w:val="0039432A"/>
    <w:rsid w:val="00420851"/>
    <w:rsid w:val="00476042"/>
    <w:rsid w:val="00510908"/>
    <w:rsid w:val="0055490F"/>
    <w:rsid w:val="00581E86"/>
    <w:rsid w:val="00634740"/>
    <w:rsid w:val="00665B56"/>
    <w:rsid w:val="006A55CE"/>
    <w:rsid w:val="00712BBE"/>
    <w:rsid w:val="00737181"/>
    <w:rsid w:val="00743526"/>
    <w:rsid w:val="00771614"/>
    <w:rsid w:val="007C1B4E"/>
    <w:rsid w:val="007E1349"/>
    <w:rsid w:val="00825F54"/>
    <w:rsid w:val="00870173"/>
    <w:rsid w:val="008C13D2"/>
    <w:rsid w:val="00956BC5"/>
    <w:rsid w:val="00973075"/>
    <w:rsid w:val="00985ED4"/>
    <w:rsid w:val="009B114B"/>
    <w:rsid w:val="009B6607"/>
    <w:rsid w:val="009C49C0"/>
    <w:rsid w:val="009D573A"/>
    <w:rsid w:val="00A15CA1"/>
    <w:rsid w:val="00A161AC"/>
    <w:rsid w:val="00A503A1"/>
    <w:rsid w:val="00A93C3E"/>
    <w:rsid w:val="00AB6A50"/>
    <w:rsid w:val="00AD3275"/>
    <w:rsid w:val="00B61906"/>
    <w:rsid w:val="00B864B0"/>
    <w:rsid w:val="00BE2D3A"/>
    <w:rsid w:val="00C07436"/>
    <w:rsid w:val="00C53C7D"/>
    <w:rsid w:val="00D11A09"/>
    <w:rsid w:val="00D140B4"/>
    <w:rsid w:val="00D369F2"/>
    <w:rsid w:val="00DD268E"/>
    <w:rsid w:val="00E00665"/>
    <w:rsid w:val="00E02155"/>
    <w:rsid w:val="00E21DE2"/>
    <w:rsid w:val="00E50374"/>
    <w:rsid w:val="00E72C87"/>
    <w:rsid w:val="00E87FD9"/>
    <w:rsid w:val="00EB70C2"/>
    <w:rsid w:val="00F314DE"/>
    <w:rsid w:val="00F329FA"/>
    <w:rsid w:val="00F50802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Joline Nattefort</cp:lastModifiedBy>
  <cp:revision>2</cp:revision>
  <cp:lastPrinted>2024-02-15T07:18:00Z</cp:lastPrinted>
  <dcterms:created xsi:type="dcterms:W3CDTF">2024-02-23T13:10:00Z</dcterms:created>
  <dcterms:modified xsi:type="dcterms:W3CDTF">2024-02-23T13:10:00Z</dcterms:modified>
</cp:coreProperties>
</file>